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C6A4AD">
      <w:pPr>
        <w:widowControl w:val="0"/>
        <w:numPr>
          <w:ilvl w:val="0"/>
          <w:numId w:val="0"/>
        </w:numPr>
        <w:jc w:val="both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592ED8C4">
      <w:pPr>
        <w:jc w:val="center"/>
        <w:rPr>
          <w:rFonts w:hint="eastAsia" w:ascii="黑体" w:hAnsi="黑体" w:eastAsia="黑体" w:cs="黑体"/>
          <w:b/>
          <w:bCs/>
          <w:sz w:val="60"/>
          <w:szCs w:val="96"/>
          <w:lang w:val="en-US" w:eastAsia="zh-CN"/>
        </w:rPr>
      </w:pPr>
      <w:bookmarkStart w:id="6" w:name="_GoBack"/>
      <w:bookmarkEnd w:id="6"/>
    </w:p>
    <w:p w14:paraId="64D7D596">
      <w:pPr>
        <w:jc w:val="center"/>
        <w:rPr>
          <w:rFonts w:hint="eastAsia" w:ascii="黑体" w:hAnsi="黑体" w:eastAsia="黑体" w:cs="黑体"/>
          <w:b/>
          <w:bCs/>
          <w:sz w:val="60"/>
          <w:szCs w:val="96"/>
          <w:lang w:val="en-US" w:eastAsia="zh-CN"/>
        </w:rPr>
      </w:pPr>
    </w:p>
    <w:p w14:paraId="0F0B024E">
      <w:pPr>
        <w:jc w:val="center"/>
        <w:rPr>
          <w:rFonts w:hint="eastAsia" w:ascii="黑体" w:hAnsi="黑体" w:eastAsia="黑体" w:cs="黑体"/>
          <w:b/>
          <w:bCs/>
          <w:sz w:val="60"/>
          <w:szCs w:val="96"/>
          <w:lang w:val="en-US" w:eastAsia="zh-CN"/>
        </w:rPr>
      </w:pPr>
    </w:p>
    <w:p w14:paraId="733393DF">
      <w:pPr>
        <w:jc w:val="center"/>
        <w:rPr>
          <w:rFonts w:hint="eastAsia" w:ascii="黑体" w:hAnsi="黑体" w:eastAsia="黑体" w:cs="黑体"/>
          <w:b/>
          <w:bCs/>
          <w:sz w:val="60"/>
          <w:szCs w:val="96"/>
          <w:lang w:val="en-US" w:eastAsia="zh-CN"/>
        </w:rPr>
      </w:pPr>
    </w:p>
    <w:p w14:paraId="24737785">
      <w:pPr>
        <w:jc w:val="center"/>
        <w:rPr>
          <w:rFonts w:hint="eastAsia" w:ascii="黑体" w:hAnsi="黑体" w:eastAsia="黑体" w:cs="黑体"/>
          <w:b/>
          <w:bCs/>
          <w:sz w:val="72"/>
          <w:szCs w:val="11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112"/>
          <w:lang w:val="en-US" w:eastAsia="zh-CN"/>
        </w:rPr>
        <w:t>AI智慧校园服务数字人</w:t>
      </w:r>
    </w:p>
    <w:p w14:paraId="4FF5E579">
      <w:pPr>
        <w:bidi w:val="0"/>
        <w:jc w:val="center"/>
        <w:rPr>
          <w:rFonts w:hint="eastAsia" w:ascii="黑体" w:hAnsi="黑体" w:eastAsia="黑体" w:cs="黑体"/>
          <w:b/>
          <w:bCs/>
          <w:sz w:val="72"/>
          <w:szCs w:val="11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72"/>
          <w:szCs w:val="112"/>
          <w:lang w:val="en-US" w:eastAsia="zh-CN"/>
        </w:rPr>
        <w:t>解决方案</w:t>
      </w:r>
    </w:p>
    <w:p w14:paraId="1DDDD5F2">
      <w:pPr>
        <w:jc w:val="center"/>
        <w:rPr>
          <w:rFonts w:hint="eastAsia"/>
          <w:sz w:val="32"/>
          <w:szCs w:val="40"/>
          <w:lang w:val="en-US" w:eastAsia="zh-CN"/>
        </w:rPr>
      </w:pPr>
    </w:p>
    <w:p w14:paraId="17BA428A">
      <w:pPr>
        <w:jc w:val="center"/>
        <w:rPr>
          <w:rFonts w:hint="eastAsia"/>
          <w:sz w:val="32"/>
          <w:szCs w:val="40"/>
          <w:lang w:val="en-US" w:eastAsia="zh-CN"/>
        </w:rPr>
      </w:pPr>
    </w:p>
    <w:p w14:paraId="7137F13B">
      <w:pPr>
        <w:jc w:val="center"/>
        <w:rPr>
          <w:rFonts w:hint="eastAsia"/>
          <w:sz w:val="32"/>
          <w:szCs w:val="40"/>
          <w:lang w:val="en-US" w:eastAsia="zh-CN"/>
        </w:rPr>
      </w:pPr>
    </w:p>
    <w:p w14:paraId="7EA36A7F">
      <w:pPr>
        <w:jc w:val="center"/>
        <w:rPr>
          <w:rFonts w:hint="eastAsia"/>
          <w:sz w:val="32"/>
          <w:szCs w:val="40"/>
          <w:lang w:val="en-US" w:eastAsia="zh-CN"/>
        </w:rPr>
      </w:pPr>
    </w:p>
    <w:p w14:paraId="3155E7FC">
      <w:pPr>
        <w:jc w:val="center"/>
        <w:rPr>
          <w:rFonts w:hint="eastAsia"/>
          <w:sz w:val="32"/>
          <w:szCs w:val="40"/>
          <w:lang w:val="en-US" w:eastAsia="zh-CN"/>
        </w:rPr>
      </w:pPr>
    </w:p>
    <w:p w14:paraId="28D5F98B">
      <w:pPr>
        <w:jc w:val="center"/>
        <w:rPr>
          <w:rFonts w:hint="eastAsia"/>
          <w:sz w:val="32"/>
          <w:szCs w:val="40"/>
          <w:lang w:val="en-US" w:eastAsia="zh-CN"/>
        </w:rPr>
      </w:pPr>
    </w:p>
    <w:p w14:paraId="287B9767">
      <w:pPr>
        <w:jc w:val="center"/>
        <w:rPr>
          <w:rFonts w:hint="eastAsia"/>
          <w:sz w:val="32"/>
          <w:szCs w:val="40"/>
          <w:lang w:val="en-US" w:eastAsia="zh-CN"/>
        </w:rPr>
      </w:pPr>
    </w:p>
    <w:p w14:paraId="342169A0">
      <w:pPr>
        <w:jc w:val="center"/>
        <w:rPr>
          <w:rFonts w:hint="eastAsia"/>
          <w:sz w:val="32"/>
          <w:szCs w:val="40"/>
          <w:lang w:val="en-US" w:eastAsia="zh-CN"/>
        </w:rPr>
      </w:pPr>
    </w:p>
    <w:p w14:paraId="28E68E34">
      <w:pPr>
        <w:jc w:val="center"/>
        <w:rPr>
          <w:rFonts w:hint="eastAsia"/>
          <w:sz w:val="32"/>
          <w:szCs w:val="40"/>
          <w:lang w:val="en-US" w:eastAsia="zh-CN"/>
        </w:rPr>
      </w:pPr>
    </w:p>
    <w:p w14:paraId="02B228B1">
      <w:pPr>
        <w:jc w:val="center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南昌市小核桃科技有限公司</w:t>
      </w:r>
    </w:p>
    <w:p w14:paraId="005D344A">
      <w:pPr>
        <w:jc w:val="center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2025年4月</w:t>
      </w:r>
    </w:p>
    <w:p w14:paraId="745C5FE9">
      <w:pPr>
        <w:bidi w:val="0"/>
        <w:rPr>
          <w:rFonts w:hint="default"/>
          <w:lang w:val="en-US" w:eastAsia="zh-CN"/>
        </w:rPr>
      </w:pPr>
    </w:p>
    <w:p w14:paraId="15FD3226">
      <w:pPr>
        <w:bidi w:val="0"/>
        <w:rPr>
          <w:rFonts w:hint="default"/>
          <w:lang w:val="en-US" w:eastAsia="zh-CN"/>
        </w:rPr>
      </w:pPr>
    </w:p>
    <w:p w14:paraId="78FBD99C">
      <w:pPr>
        <w:bidi w:val="0"/>
        <w:rPr>
          <w:rFonts w:hint="default"/>
          <w:lang w:val="en-US" w:eastAsia="zh-CN"/>
        </w:rPr>
      </w:pPr>
    </w:p>
    <w:p w14:paraId="70766562">
      <w:pPr>
        <w:pStyle w:val="2"/>
        <w:numPr>
          <w:ilvl w:val="0"/>
          <w:numId w:val="1"/>
        </w:numPr>
        <w:bidi w:val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背景介绍</w:t>
      </w:r>
    </w:p>
    <w:p w14:paraId="4315BDE3">
      <w:pPr>
        <w:pStyle w:val="4"/>
        <w:bidi w:val="0"/>
        <w:rPr>
          <w:rFonts w:hint="eastAsia"/>
        </w:rPr>
      </w:pPr>
      <w:r>
        <w:rPr>
          <w:rFonts w:hint="eastAsia"/>
          <w:lang w:val="en-US" w:eastAsia="zh-CN"/>
        </w:rPr>
        <w:t>1.1</w:t>
      </w:r>
      <w:r>
        <w:rPr>
          <w:rFonts w:hint="default"/>
        </w:rPr>
        <w:t>政策目标：从“三全两高一大”到教育现代化</w:t>
      </w:r>
    </w:p>
    <w:p w14:paraId="534A17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在数字化浪潮的推动下，我国教育领域正经历深刻变革。教育部《教育信息化2.0行动计划》《中国教育现代化2035》等政策文件，以及《智慧校园总体框架》《XX数字校园建设规范》等技术标准，共同构建了教育智能化发展的顶层设计与实施路径。以下从政策目标、技术融合、实践案例、未来方向四个维度展开分析。《教育信息化2.0行动计划》提出“三全两高一大”目标，即教学应用覆盖全体教师、学习应用覆盖全体适龄学生、数字校园建设覆盖全体学校，信息化应用水平和师生信息素养普遍提高，建成“互联网+教育”大平台。这一目标强调技术普及与素养提升并重，推动教育服务从“可用”向“易用、好用”转型。《中国教育现代化2035》明确提出“总体实现教育现代化，迈入教育强国行列”。这一目标要求教育系统全面融入数字化、智能化技术，形成服务全民终身学习的现代教育体系，为教育强国建设提供核心支撑。</w:t>
      </w:r>
    </w:p>
    <w:p w14:paraId="34C33C93">
      <w:pPr>
        <w:pStyle w:val="4"/>
        <w:bidi w:val="0"/>
      </w:pPr>
      <w:r>
        <w:rPr>
          <w:rFonts w:hint="eastAsia"/>
          <w:lang w:val="en-US" w:eastAsia="zh-CN"/>
        </w:rPr>
        <w:t>1.2</w:t>
      </w:r>
      <w:r>
        <w:rPr>
          <w:rFonts w:hint="default"/>
        </w:rPr>
        <w:t>技术融合：智能化驱动教育创新</w:t>
      </w:r>
    </w:p>
    <w:p w14:paraId="66DFB8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智慧校园与数字校园建设</w:t>
      </w:r>
    </w:p>
    <w:p w14:paraId="2D7BAC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《智慧校园总体框架》与《XX数字校园建设规范》为教育智能化提供了技术标准。通过物联网、大数据、人工智能等技术，实现校园管理、教学、服务的全面数字化。例如，智慧校园平台可整合教学资源、学生信息、设备管理等功能，支持师生随时随地获取资源和服务。</w:t>
      </w:r>
    </w:p>
    <w:p w14:paraId="69764C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“人工智能+教育”实践</w:t>
      </w:r>
    </w:p>
    <w:p w14:paraId="6FED566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2024年教育部公布的18个示范案例，展示了人工智能在教育中的创新应用。例如，清华大学利用大模型技术构建智能助教系统，实现自动出题、答疑解惑；北京大学口腔虚拟仿真实验室通过虚拟现实技术提升实验教学效率。这些案例表明，人工智能已成为推动教育模式变革的核心动力。</w:t>
      </w:r>
    </w:p>
    <w:p w14:paraId="44887CE7">
      <w:pPr>
        <w:pStyle w:val="4"/>
        <w:bidi w:val="0"/>
        <w:rPr>
          <w:rFonts w:hint="eastAsia" w:ascii="仿宋" w:hAnsi="仿宋" w:eastAsia="仿宋" w:cs="仿宋"/>
          <w:sz w:val="24"/>
          <w:szCs w:val="32"/>
        </w:rPr>
      </w:pPr>
      <w:r>
        <w:rPr>
          <w:rFonts w:hint="eastAsia"/>
          <w:lang w:val="en-US" w:eastAsia="zh-CN"/>
        </w:rPr>
        <w:t>1.3</w:t>
      </w:r>
      <w:r>
        <w:rPr>
          <w:rFonts w:hint="eastAsia"/>
        </w:rPr>
        <w:t>实践路径：从“以智助学”到教育治理现代化</w:t>
      </w:r>
    </w:p>
    <w:p w14:paraId="7D9BDD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教学服务智能化</w:t>
      </w:r>
    </w:p>
    <w:p w14:paraId="4ADEEE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2024年世界数字教育大会提出的“以智助学、以智助教、以智助管、以智助研”，体现了教育全链条的智能化升级。例如，智能教学系统可根据学生学习数据提供个性化学习路径；智能管理系统可实现校园安全、设备维护的自动化监控。</w:t>
      </w:r>
    </w:p>
    <w:p w14:paraId="47360F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79" w:leftChars="228" w:firstLine="0" w:firstLineChars="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教育评价与决策科学化</w:t>
      </w:r>
    </w:p>
    <w:p w14:paraId="2259C1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t>《教育强国建设规划纲要》强调建立基于大数据和人工智能的教育评价体系。通过对学生学习行为、教师教学效果、学校管理效能的实时分析，形成精准化、动态化的评价结果，为教育决策提供科学依据。</w:t>
      </w:r>
    </w:p>
    <w:p w14:paraId="0A0AFD95">
      <w:pPr>
        <w:pStyle w:val="2"/>
        <w:bidi w:val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二、AI智慧数字人</w:t>
      </w:r>
    </w:p>
    <w:p w14:paraId="2EF7922C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2.1概述</w:t>
      </w:r>
    </w:p>
    <w:p w14:paraId="34D4FAD5">
      <w:pPr>
        <w:numPr>
          <w:ilvl w:val="0"/>
          <w:numId w:val="0"/>
        </w:numPr>
        <w:ind w:firstLine="560" w:firstLineChars="200"/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bidi="ar-SA"/>
        </w:rPr>
        <w:t>AI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val="en-US" w:eastAsia="zh-CN" w:bidi="ar-SA"/>
        </w:rPr>
        <w:t>智慧数字人是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bidi="ar-SA"/>
        </w:rPr>
        <w:t>学院的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val="en-US" w:eastAsia="zh-CN" w:bidi="ar-SA"/>
        </w:rPr>
        <w:t>专属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bidi="ar-SA"/>
        </w:rPr>
        <w:t>智能对话数字人，基于核桃智学AI智慧教育平台的AI大模型训练基础服务，能够实现用户与数字人之间的智能对话服务。它可作为在校学生的教务助手，为在校老师提供答疑支持，同时也能作为考生家长的招生咨询助手。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val="en-US" w:eastAsia="zh-CN" w:bidi="ar-SA"/>
        </w:rPr>
        <w:t>用户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bidi="ar-SA"/>
        </w:rPr>
        <w:t>可以通过手机和电脑访问并提出问题，系统支持语音对话和文字输入两种交流方式。</w:t>
      </w:r>
    </w:p>
    <w:p w14:paraId="2186E8A4">
      <w:pPr>
        <w:numPr>
          <w:ilvl w:val="0"/>
          <w:numId w:val="0"/>
        </w:numPr>
        <w:ind w:firstLine="560" w:firstLineChars="200"/>
        <w:jc w:val="center"/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bidi="ar-SA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3171825" cy="3283585"/>
            <wp:effectExtent l="0" t="0" r="317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28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4DF02">
      <w:pPr>
        <w:widowControl w:val="0"/>
        <w:numPr>
          <w:ilvl w:val="0"/>
          <w:numId w:val="0"/>
        </w:numPr>
        <w:bidi w:val="0"/>
        <w:ind w:firstLine="560" w:firstLineChars="200"/>
        <w:jc w:val="both"/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bidi="ar-SA"/>
        </w:rPr>
        <w:t>学院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val="en-US" w:eastAsia="zh-CN" w:bidi="ar-SA"/>
        </w:rPr>
        <w:t>管理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bidi="ar-SA"/>
        </w:rPr>
        <w:t>教师能够通过核桃智学账号登录，上传学院资料和常见问题库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eastAsia="zh-CN" w:bidi="ar-SA"/>
        </w:rPr>
        <w:t>，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val="en-US" w:eastAsia="zh-CN" w:bidi="ar-SA"/>
        </w:rPr>
        <w:t>基于豆包、Deepseek、通义千问等大模型底座，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bidi="ar-SA"/>
        </w:rPr>
        <w:t>系统将自动进行AI学院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val="en-US" w:eastAsia="zh-CN" w:bidi="ar-SA"/>
        </w:rPr>
        <w:t>专属数字人的大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bidi="ar-SA"/>
        </w:rPr>
        <w:t>模型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val="en-US" w:eastAsia="zh-CN" w:bidi="ar-SA"/>
        </w:rPr>
        <w:t>进行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bidi="ar-SA"/>
        </w:rPr>
        <w:t>训练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eastAsia="zh-CN" w:bidi="ar-SA"/>
        </w:rPr>
        <w:t>，模型会分析数据中的语义信息、逻辑关系以及潜在的问答模式，通过大量的迭代运算，不断调整自身的参数，以提升对问题的理解能力和回答的准确性</w:t>
      </w: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bidi="ar-SA"/>
        </w:rPr>
        <w:t>。</w:t>
      </w:r>
    </w:p>
    <w:p w14:paraId="070330B9">
      <w:pPr>
        <w:widowControl w:val="0"/>
        <w:numPr>
          <w:ilvl w:val="0"/>
          <w:numId w:val="0"/>
        </w:numPr>
        <w:bidi w:val="0"/>
        <w:ind w:leftChars="400" w:firstLine="440" w:firstLineChars="200"/>
        <w:jc w:val="both"/>
        <w:rPr>
          <w:rFonts w:hint="eastAsia" w:ascii="方正仿宋_GB2312" w:hAnsi="方正仿宋_GB2312" w:eastAsia="方正仿宋_GB2312" w:cs="方正仿宋_GB2312"/>
          <w:kern w:val="2"/>
          <w:sz w:val="22"/>
          <w:szCs w:val="2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2"/>
          <w:szCs w:val="22"/>
          <w:lang w:val="en-US" w:eastAsia="zh-CN" w:bidi="ar-SA"/>
        </w:rPr>
        <w:t>平台链接：https://hetaozhixue.com/</w:t>
      </w:r>
    </w:p>
    <w:p w14:paraId="1BF59807">
      <w:pPr>
        <w:widowControl w:val="0"/>
        <w:numPr>
          <w:ilvl w:val="0"/>
          <w:numId w:val="0"/>
        </w:numPr>
        <w:bidi w:val="0"/>
        <w:ind w:leftChars="400" w:firstLine="440" w:firstLineChars="200"/>
        <w:jc w:val="both"/>
        <w:rPr>
          <w:rFonts w:hint="eastAsia" w:ascii="方正仿宋_GB2312" w:hAnsi="方正仿宋_GB2312" w:eastAsia="方正仿宋_GB2312" w:cs="方正仿宋_GB2312"/>
          <w:kern w:val="2"/>
          <w:sz w:val="22"/>
          <w:szCs w:val="2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2"/>
          <w:szCs w:val="22"/>
          <w:lang w:val="en-US" w:eastAsia="zh-CN" w:bidi="ar-SA"/>
        </w:rPr>
        <w:t>账号：13133817079</w:t>
      </w:r>
    </w:p>
    <w:p w14:paraId="13D33D04">
      <w:pPr>
        <w:widowControl w:val="0"/>
        <w:numPr>
          <w:ilvl w:val="0"/>
          <w:numId w:val="0"/>
        </w:numPr>
        <w:bidi w:val="0"/>
        <w:ind w:leftChars="400" w:firstLine="440" w:firstLineChars="200"/>
        <w:jc w:val="both"/>
        <w:rPr>
          <w:rFonts w:hint="eastAsia" w:ascii="方正仿宋_GB2312" w:hAnsi="方正仿宋_GB2312" w:eastAsia="方正仿宋_GB2312" w:cs="方正仿宋_GB2312"/>
          <w:kern w:val="2"/>
          <w:sz w:val="22"/>
          <w:szCs w:val="22"/>
          <w:lang w:val="en-US" w:eastAsia="zh-CN" w:bidi="ar-SA"/>
        </w:rPr>
      </w:pPr>
      <w:r>
        <w:rPr>
          <w:rFonts w:hint="eastAsia" w:ascii="方正仿宋_GB2312" w:hAnsi="方正仿宋_GB2312" w:eastAsia="方正仿宋_GB2312" w:cs="方正仿宋_GB2312"/>
          <w:kern w:val="2"/>
          <w:sz w:val="22"/>
          <w:szCs w:val="22"/>
          <w:lang w:val="en-US" w:eastAsia="zh-CN" w:bidi="ar-SA"/>
        </w:rPr>
        <w:t>密码：Pass@word123</w:t>
      </w:r>
    </w:p>
    <w:p w14:paraId="2A398F7E">
      <w:pPr>
        <w:pStyle w:val="4"/>
        <w:bidi w:val="0"/>
        <w:rPr>
          <w:rFonts w:hint="eastAsia"/>
        </w:rPr>
      </w:pPr>
      <w:bookmarkStart w:id="0" w:name="Xe50252e769e7462ab73a006cd306f1601ea7dc4"/>
      <w:r>
        <w:rPr>
          <w:rFonts w:hint="eastAsia"/>
          <w:lang w:val="en-US" w:eastAsia="zh-CN"/>
        </w:rPr>
        <w:t>2.2</w:t>
      </w:r>
      <w:r>
        <w:rPr>
          <w:rFonts w:hint="eastAsia"/>
        </w:rPr>
        <w:t xml:space="preserve"> 技术架构体系（三维支撑）</w:t>
      </w:r>
    </w:p>
    <w:p w14:paraId="28B06368">
      <w:pPr>
        <w:pStyle w:val="15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系统采用“大模型底座 + 训练平台 + 交互终端”的立体架构：</w:t>
      </w:r>
    </w:p>
    <w:p w14:paraId="6B7C6F3E">
      <w:pPr>
        <w:pStyle w:val="3"/>
        <w:jc w:val="center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4653915" cy="3612515"/>
            <wp:effectExtent l="0" t="0" r="6985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36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279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基础层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：整合豆包 / Deepseek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/通义千问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等通用大模型，提供语言理解、逻辑推理等基础能力，如同为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学院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数字人打造了一个聪慧的“大脑”，使其具备理解复杂语义和进行逻辑推演的根基。</w:t>
      </w:r>
    </w:p>
    <w:p w14:paraId="702C5C0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训练层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：核桃智学平台实现三大核心训练：</w:t>
      </w:r>
    </w:p>
    <w:p w14:paraId="792AC9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①增量训练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：通过学院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官网、内网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政策文件、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常见问答库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等结构化数据注入专业认知，不断扩充数字人的知识版图，让其紧跟学院最新动态和专业要求。</w:t>
      </w:r>
    </w:p>
    <w:p w14:paraId="1A821E12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4785" cy="2444115"/>
            <wp:effectExtent l="0" t="0" r="5715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36E33">
      <w:pPr>
        <w:numPr>
          <w:ilvl w:val="0"/>
          <w:numId w:val="0"/>
        </w:numPr>
        <w:jc w:val="center"/>
        <w:rPr>
          <w:rFonts w:hint="eastAsia" w:ascii="方正仿宋_GB2312" w:hAnsi="方正仿宋_GB2312" w:eastAsia="方正仿宋_GB2312" w:cs="方正仿宋_GB2312"/>
          <w:sz w:val="24"/>
          <w:szCs w:val="24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常见问答库支持批量上传添加，确保回答准确有效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）</w:t>
      </w:r>
    </w:p>
    <w:p w14:paraId="353CA4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②微调训练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：基于师生真实对话记录优化应答准确度，例如将学生咨询“转专业流程”的 20 种不同问法归类映射，使数字人能够精准识别各种表述背后的相同需求，给出恰到好处的回答。</w:t>
      </w:r>
    </w:p>
    <w:p w14:paraId="38FC700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③强化学习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：系统配备爬虫功能，可精准提取学校官网、公众号等 URL 网站内容，同时支持添加云文档 URL，并且用户能够自行选择关联上传进云盘的资料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大幅度降低老师操作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。</w:t>
      </w:r>
    </w:p>
    <w:p w14:paraId="1048613F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4785" cy="2442845"/>
            <wp:effectExtent l="0" t="0" r="5715" b="825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50C3B">
      <w:pPr>
        <w:numPr>
          <w:ilvl w:val="0"/>
          <w:numId w:val="0"/>
        </w:numPr>
        <w:jc w:val="center"/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AI大模型自主训练云盘资料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）</w:t>
      </w:r>
    </w:p>
    <w:p w14:paraId="2EC57D90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4785" cy="2444115"/>
            <wp:effectExtent l="0" t="0" r="5715" b="698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FAB00">
      <w:pPr>
        <w:numPr>
          <w:ilvl w:val="0"/>
          <w:numId w:val="0"/>
        </w:numPr>
        <w:jc w:val="center"/>
        <w:rPr>
          <w:rFonts w:hint="eastAsia" w:ascii="方正仿宋_GB2312" w:hAnsi="方正仿宋_GB2312" w:eastAsia="方正仿宋_GB2312" w:cs="方正仿宋_GB2312"/>
          <w:sz w:val="22"/>
          <w:szCs w:val="22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2"/>
          <w:szCs w:val="22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22"/>
          <w:szCs w:val="22"/>
          <w:lang w:val="en-US" w:eastAsia="zh-CN"/>
        </w:rPr>
        <w:t>设有爬虫功能，自动提取网页信息并让AI大模型自主学习训练</w:t>
      </w:r>
      <w:r>
        <w:rPr>
          <w:rFonts w:hint="eastAsia" w:ascii="方正仿宋_GB2312" w:hAnsi="方正仿宋_GB2312" w:eastAsia="方正仿宋_GB2312" w:cs="方正仿宋_GB2312"/>
          <w:sz w:val="22"/>
          <w:szCs w:val="22"/>
          <w:lang w:eastAsia="zh-CN"/>
        </w:rPr>
        <w:t>）</w:t>
      </w:r>
    </w:p>
    <w:p w14:paraId="73CDFD7F">
      <w:pPr>
        <w:numPr>
          <w:ilvl w:val="0"/>
          <w:numId w:val="0"/>
        </w:num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</w:pPr>
    </w:p>
    <w:p w14:paraId="59C71B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应用层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：支持网页 / H5 / 微信公众号多端接入，方便用户随时随地与数字人交流，同时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内置学院定制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数字人形象，彰显学院特色，增强师生、家长的归属感和认同感。</w:t>
      </w:r>
    </w:p>
    <w:p w14:paraId="6478FA59"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4785" cy="2444115"/>
            <wp:effectExtent l="0" t="0" r="5715" b="6985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AB456">
      <w:pPr>
        <w:widowControl w:val="0"/>
        <w:numPr>
          <w:ilvl w:val="0"/>
          <w:numId w:val="0"/>
        </w:numPr>
        <w:jc w:val="center"/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kern w:val="2"/>
          <w:sz w:val="24"/>
          <w:szCs w:val="24"/>
          <w:lang w:val="en-US" w:eastAsia="zh-CN" w:bidi="ar-SA"/>
        </w:rPr>
        <w:t>学院教师</w:t>
      </w:r>
      <w:r>
        <w:rPr>
          <w:rFonts w:hint="eastAsia" w:ascii="方正仿宋_GB2312" w:hAnsi="方正仿宋_GB2312" w:eastAsia="方正仿宋_GB2312" w:cs="方正仿宋_GB2312"/>
          <w:kern w:val="2"/>
          <w:sz w:val="24"/>
          <w:szCs w:val="24"/>
          <w:lang w:bidi="ar-SA"/>
        </w:rPr>
        <w:t>能够分享智慧数字人的链接和二维码，随时随地将其添加到学院官网、公众号等新媒体平台，以便于使用和传播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）</w:t>
      </w:r>
    </w:p>
    <w:p w14:paraId="36560F27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2.3功能</w:t>
      </w:r>
    </w:p>
    <w:p w14:paraId="41E36F1F">
      <w:pPr>
        <w:pStyle w:val="5"/>
        <w:bidi w:val="0"/>
        <w:rPr>
          <w:rFonts w:hint="eastAsia" w:ascii="黑体" w:hAnsi="黑体" w:eastAsia="黑体" w:cs="黑体"/>
          <w:sz w:val="28"/>
          <w:szCs w:val="2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2"/>
          <w:lang w:val="en-US" w:eastAsia="zh-CN"/>
        </w:rPr>
        <w:t>（1）咨询与答疑</w:t>
      </w:r>
    </w:p>
    <w:p w14:paraId="567D7226">
      <w:pPr>
        <w:bidi w:val="0"/>
        <w:ind w:firstLine="560" w:firstLineChars="20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8"/>
          <w:szCs w:val="36"/>
          <w:lang w:val="en-US" w:eastAsia="zh-CN"/>
        </w:rPr>
        <w:t>AI智慧数字人可提供院内教学团学讯息、院情院务资讯、招生咨询、教务答疑等内容的问答与咨询。包括：团员团务、学院风采、教务关系等等内容。</w:t>
      </w:r>
      <w:r>
        <w:rPr>
          <w:rFonts w:hint="eastAsia" w:ascii="仿宋" w:hAnsi="仿宋" w:eastAsia="仿宋" w:cs="仿宋"/>
          <w:i/>
          <w:iCs/>
          <w:color w:val="auto"/>
          <w:sz w:val="28"/>
          <w:szCs w:val="36"/>
          <w:lang w:val="en-US" w:eastAsia="zh-CN"/>
        </w:rPr>
        <w:t>（院内信息咨询均可调整）</w:t>
      </w:r>
    </w:p>
    <w:p w14:paraId="15C51A2A">
      <w:pPr>
        <w:pStyle w:val="5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2"/>
          <w:lang w:val="en-US" w:eastAsia="zh-CN"/>
        </w:rPr>
        <w:t>知识库关联资源</w:t>
      </w:r>
    </w:p>
    <w:p w14:paraId="222044D0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" w:hAnsi="仿宋" w:eastAsia="仿宋" w:cs="仿宋"/>
          <w:color w:val="auto"/>
          <w:sz w:val="28"/>
          <w:szCs w:val="36"/>
        </w:rPr>
      </w:pPr>
      <w:r>
        <w:rPr>
          <w:rFonts w:hint="eastAsia" w:ascii="仿宋" w:hAnsi="仿宋" w:eastAsia="仿宋" w:cs="仿宋"/>
          <w:color w:val="auto"/>
          <w:sz w:val="28"/>
          <w:szCs w:val="36"/>
        </w:rPr>
        <w:t>教务答疑场景</w:t>
      </w:r>
    </w:p>
    <w:p w14:paraId="42229A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36"/>
        </w:rPr>
      </w:pPr>
      <w:r>
        <w:rPr>
          <w:rFonts w:hint="eastAsia" w:ascii="仿宋" w:hAnsi="仿宋" w:eastAsia="仿宋" w:cs="仿宋"/>
          <w:color w:val="auto"/>
          <w:sz w:val="28"/>
          <w:szCs w:val="36"/>
        </w:rPr>
        <w:t>资源类型：教学计划模板、培养方案对比表、课程大纲库</w:t>
      </w:r>
    </w:p>
    <w:p w14:paraId="05E7DD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36"/>
        </w:rPr>
      </w:pPr>
      <w:r>
        <w:rPr>
          <w:rFonts w:hint="eastAsia" w:ascii="仿宋" w:hAnsi="仿宋" w:eastAsia="仿宋" w:cs="仿宋"/>
          <w:color w:val="auto"/>
          <w:sz w:val="28"/>
          <w:szCs w:val="36"/>
        </w:rPr>
        <w:t>交互示例：</w:t>
      </w:r>
    </w:p>
    <w:p w14:paraId="34C9BC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36"/>
        </w:rPr>
      </w:pPr>
      <w:r>
        <w:rPr>
          <w:rFonts w:hint="eastAsia" w:ascii="仿宋" w:hAnsi="仿宋" w:eastAsia="仿宋" w:cs="仿宋"/>
          <w:color w:val="auto"/>
          <w:sz w:val="28"/>
          <w:szCs w:val="36"/>
        </w:rPr>
        <w:t>用户：“人工智能专业课程有哪些必修课？”</w:t>
      </w:r>
    </w:p>
    <w:p w14:paraId="4B7F91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36"/>
        </w:rPr>
      </w:pPr>
      <w:r>
        <w:rPr>
          <w:rFonts w:hint="eastAsia" w:ascii="仿宋" w:hAnsi="仿宋" w:eastAsia="仿宋" w:cs="仿宋"/>
          <w:color w:val="auto"/>
          <w:sz w:val="28"/>
          <w:szCs w:val="36"/>
        </w:rPr>
        <w:t>AI</w:t>
      </w:r>
      <w:r>
        <w:rPr>
          <w:rFonts w:hint="eastAsia" w:ascii="仿宋" w:hAnsi="仿宋" w:eastAsia="仿宋" w:cs="仿宋"/>
          <w:color w:val="auto"/>
          <w:sz w:val="28"/>
          <w:szCs w:val="36"/>
          <w:lang w:val="en-US" w:eastAsia="zh-CN"/>
        </w:rPr>
        <w:t>数字人</w:t>
      </w:r>
      <w:r>
        <w:rPr>
          <w:rFonts w:hint="eastAsia" w:ascii="仿宋" w:hAnsi="仿宋" w:eastAsia="仿宋" w:cs="仿宋"/>
          <w:color w:val="auto"/>
          <w:sz w:val="28"/>
          <w:szCs w:val="36"/>
        </w:rPr>
        <w:t>响应：“根据2023版培养方案，必修课包括《机器学习》《自然语言处理》等。”</w:t>
      </w:r>
    </w:p>
    <w:p w14:paraId="66B47ACF"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420" w:leftChars="0" w:hanging="420" w:firstLineChars="0"/>
        <w:textAlignment w:val="auto"/>
        <w:rPr>
          <w:rFonts w:hint="eastAsia" w:ascii="仿宋" w:hAnsi="仿宋" w:eastAsia="仿宋" w:cs="仿宋"/>
          <w:color w:val="auto"/>
          <w:sz w:val="28"/>
          <w:szCs w:val="36"/>
        </w:rPr>
      </w:pPr>
      <w:r>
        <w:rPr>
          <w:rFonts w:hint="eastAsia" w:ascii="仿宋" w:hAnsi="仿宋" w:eastAsia="仿宋" w:cs="仿宋"/>
          <w:color w:val="auto"/>
          <w:sz w:val="28"/>
          <w:szCs w:val="36"/>
        </w:rPr>
        <w:t>招生咨询场景</w:t>
      </w:r>
    </w:p>
    <w:p w14:paraId="61DD03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36"/>
        </w:rPr>
      </w:pPr>
      <w:r>
        <w:rPr>
          <w:rFonts w:hint="eastAsia" w:ascii="仿宋" w:hAnsi="仿宋" w:eastAsia="仿宋" w:cs="仿宋"/>
          <w:color w:val="auto"/>
          <w:sz w:val="28"/>
          <w:szCs w:val="36"/>
        </w:rPr>
        <w:t>资源类型：历年分数线可视化图表、招生政策对比工具、虚拟校园导览</w:t>
      </w:r>
    </w:p>
    <w:p w14:paraId="428F27D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36"/>
        </w:rPr>
      </w:pPr>
      <w:r>
        <w:rPr>
          <w:rFonts w:hint="eastAsia" w:ascii="仿宋" w:hAnsi="仿宋" w:eastAsia="仿宋" w:cs="仿宋"/>
          <w:color w:val="auto"/>
          <w:sz w:val="28"/>
          <w:szCs w:val="36"/>
        </w:rPr>
        <w:t>交互示例：</w:t>
      </w:r>
    </w:p>
    <w:p w14:paraId="1DC34C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36"/>
        </w:rPr>
      </w:pPr>
      <w:r>
        <w:rPr>
          <w:rFonts w:hint="eastAsia" w:ascii="仿宋" w:hAnsi="仿宋" w:eastAsia="仿宋" w:cs="仿宋"/>
          <w:color w:val="auto"/>
          <w:sz w:val="28"/>
          <w:szCs w:val="36"/>
        </w:rPr>
        <w:t>用户：“今年文科生录取概率如何？”</w:t>
      </w:r>
    </w:p>
    <w:p w14:paraId="5EAC16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auto"/>
          <w:sz w:val="28"/>
          <w:szCs w:val="36"/>
        </w:rPr>
      </w:pPr>
      <w:r>
        <w:rPr>
          <w:rFonts w:hint="eastAsia" w:ascii="仿宋" w:hAnsi="仿宋" w:eastAsia="仿宋" w:cs="仿宋"/>
          <w:color w:val="auto"/>
          <w:sz w:val="28"/>
          <w:szCs w:val="36"/>
        </w:rPr>
        <w:t>AI响应：“结合近三年数据，您的分数段录取率为XX%，建议重点参考《2023年招生计划白皮书》第XX页。”（嵌入图表）</w:t>
      </w:r>
    </w:p>
    <w:p w14:paraId="048D4D11">
      <w:pPr>
        <w:pStyle w:val="5"/>
        <w:bidi w:val="0"/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（3）相关问题推荐</w:t>
      </w:r>
    </w:p>
    <w:p w14:paraId="1FE72533">
      <w:pPr>
        <w:bidi w:val="0"/>
        <w:ind w:firstLine="560" w:firstLineChars="200"/>
        <w:rPr>
          <w:rFonts w:hint="eastAsia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根据对话问答内容，提供一些相关衍生问题鼓励用户继续对话并获取相关有效信息。</w:t>
      </w:r>
    </w:p>
    <w:p w14:paraId="30B17958">
      <w:pPr>
        <w:pStyle w:val="5"/>
        <w:bidi w:val="0"/>
        <w:rPr>
          <w:rFonts w:hint="eastAsia" w:ascii="黑体" w:hAnsi="黑体" w:eastAsia="黑体" w:cs="黑体"/>
          <w:sz w:val="32"/>
          <w:szCs w:val="24"/>
          <w:lang w:val="en-US" w:eastAsia="zh-CN"/>
        </w:rPr>
      </w:pPr>
      <w:r>
        <w:rPr>
          <w:rFonts w:hint="eastAsia" w:ascii="黑体" w:hAnsi="黑体" w:eastAsia="黑体" w:cs="黑体"/>
          <w:sz w:val="32"/>
          <w:szCs w:val="24"/>
          <w:lang w:val="en-US" w:eastAsia="zh-CN"/>
        </w:rPr>
        <w:t>（4）点赞/点踩的反馈机制</w:t>
      </w:r>
    </w:p>
    <w:p w14:paraId="01046E06"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kern w:val="2"/>
          <w:sz w:val="28"/>
          <w:szCs w:val="28"/>
          <w:lang w:bidi="ar-SA"/>
        </w:rPr>
        <w:t>在AI回答下添加反馈按钮，以便优化回答质量。根据点赞和点踩排序，优先展示满意度高的回答，提升用户体验。反馈也将作为模型训练数据，帮助调整参数，使AI回答更贴近用户需求。</w:t>
      </w:r>
    </w:p>
    <w:p w14:paraId="1218FB41">
      <w:pPr>
        <w:bidi w:val="0"/>
        <w:rPr>
          <w:rFonts w:hint="eastAsia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4768850" cy="4686300"/>
            <wp:effectExtent l="0" t="0" r="12700" b="0"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885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19CCF">
      <w:pPr>
        <w:bidi w:val="0"/>
        <w:rPr>
          <w:rFonts w:hint="eastAsia"/>
          <w:lang w:val="en-US" w:eastAsia="zh-CN"/>
        </w:rPr>
      </w:pPr>
    </w:p>
    <w:bookmarkEnd w:id="0"/>
    <w:p w14:paraId="79489CD6">
      <w:pPr>
        <w:pStyle w:val="4"/>
        <w:bidi w:val="0"/>
        <w:rPr>
          <w:rFonts w:hint="eastAsia"/>
          <w:lang w:val="en-US" w:eastAsia="zh-CN"/>
        </w:rPr>
      </w:pPr>
      <w:bookmarkStart w:id="1" w:name="Xd9e3a78eb0b393c9e8ed5185b5e6d3190d546bc"/>
      <w:bookmarkStart w:id="2" w:name="运行模式解析"/>
      <w:r>
        <w:rPr>
          <w:rFonts w:hint="eastAsia"/>
          <w:lang w:val="en-US" w:eastAsia="zh-CN"/>
        </w:rPr>
        <w:t>2.4运行模式解析（</w:t>
      </w:r>
      <w:r>
        <w:rPr>
          <w:rFonts w:hint="eastAsia"/>
        </w:rPr>
        <w:t>智能应答工作流</w:t>
      </w:r>
      <w:r>
        <w:rPr>
          <w:rFonts w:hint="eastAsia"/>
          <w:lang w:val="en-US" w:eastAsia="zh-CN"/>
        </w:rPr>
        <w:t>）</w:t>
      </w:r>
    </w:p>
    <w:p w14:paraId="3B97C415">
      <w:pPr>
        <w:pStyle w:val="1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 xml:space="preserve">① 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意图识别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：通过语义解析将模糊提问转化为标准问题，例如把学生含糊其辞的“怎么换导师”精准识别并转化为“导师更换流程”，让数字人能够准确理解用户的真实需求。</w:t>
      </w:r>
    </w:p>
    <w:p w14:paraId="0BA2E2BF">
      <w:pPr>
        <w:pStyle w:val="3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2275205" cy="3055620"/>
            <wp:effectExtent l="0" t="0" r="10795" b="508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5205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2482850" cy="3004185"/>
            <wp:effectExtent l="0" t="0" r="6350" b="571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E3E8B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 xml:space="preserve">② 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知识检索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：优先调用训练完成的专项模型应答，这些专项模型经过针对性训练，对特定领域的问题能够迅速给出高质量回答；超出范围时触发通用模型，确保无论问题多么冷门或特殊，数字人都能尽力提供帮助。</w:t>
      </w:r>
    </w:p>
    <w:p w14:paraId="71650F89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 xml:space="preserve">③ 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多模态生成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：同步输出文字答复 + 数字人语音解说，平均响应速度小于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3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秒，为用户提供高效便捷的交互体验，无论是喜欢阅读文字还是更倾向于听语音的用户，都能快速获取所需信息。</w:t>
      </w:r>
    </w:p>
    <w:p w14:paraId="49FA3C5E">
      <w:pPr>
        <w:pStyle w:val="3"/>
        <w:widowControl w:val="0"/>
        <w:spacing w:before="180" w:after="180"/>
        <w:ind w:firstLine="562" w:firstLineChars="200"/>
        <w:jc w:val="both"/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bidi="ar-SA"/>
        </w:rPr>
        <w:t>同时系统支持教师自定义数字人的形象和声音，允许教师录制并使用自己的声音和形象，创建数字分身</w:t>
      </w: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val="en-US" w:eastAsia="zh-CN" w:bidi="ar-SA"/>
        </w:rPr>
        <w:t>进行答疑解惑</w:t>
      </w: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bidi="ar-SA"/>
        </w:rPr>
        <w:t>。</w:t>
      </w:r>
    </w:p>
    <w:p w14:paraId="71D74586">
      <w:pPr>
        <w:pStyle w:val="3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4785" cy="2444115"/>
            <wp:effectExtent l="0" t="0" r="5715" b="698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31773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 xml:space="preserve">④ </w:t>
      </w: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数据回流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：匿名化对话数据自动进入训练池，实现模型迭代升级，每一次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使用者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与数字人的交流都在为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大模型的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进步做贡献，让数字人能够不断学习新知识、新表达方式，持续优化应答能力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t>，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同时教师可查看对话了解使用者画像，了解使用量等相关信息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。</w:t>
      </w:r>
    </w:p>
    <w:p w14:paraId="5C389D40">
      <w:pPr>
        <w:pStyle w:val="3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4785" cy="2444115"/>
            <wp:effectExtent l="0" t="0" r="5715" b="6985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D8D38">
      <w:pPr>
        <w:widowControl w:val="0"/>
        <w:numPr>
          <w:ilvl w:val="0"/>
          <w:numId w:val="0"/>
        </w:numPr>
        <w:jc w:val="center"/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可查看总使用量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）</w:t>
      </w:r>
    </w:p>
    <w:p w14:paraId="62091D96">
      <w:pPr>
        <w:widowControl w:val="0"/>
        <w:numPr>
          <w:ilvl w:val="0"/>
          <w:numId w:val="0"/>
        </w:numPr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p w14:paraId="49545220">
      <w:pPr>
        <w:pStyle w:val="3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4785" cy="2444115"/>
            <wp:effectExtent l="0" t="0" r="5715" b="698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8A650">
      <w:pPr>
        <w:widowControl w:val="0"/>
        <w:numPr>
          <w:ilvl w:val="0"/>
          <w:numId w:val="0"/>
        </w:numPr>
        <w:jc w:val="center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可查看使用者的对话记录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）</w:t>
      </w:r>
    </w:p>
    <w:p w14:paraId="043DC913">
      <w:pPr>
        <w:pStyle w:val="3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4785" cy="2444115"/>
            <wp:effectExtent l="0" t="0" r="5715" b="698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64EA6">
      <w:pPr>
        <w:widowControl w:val="0"/>
        <w:numPr>
          <w:ilvl w:val="0"/>
          <w:numId w:val="0"/>
        </w:numPr>
        <w:jc w:val="center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可查看使用者的满意度等统计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）</w:t>
      </w:r>
    </w:p>
    <w:bookmarkEnd w:id="1"/>
    <w:p w14:paraId="751CE984">
      <w:pPr>
        <w:pStyle w:val="2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3" w:name="Xd7832fec8d04c6a4cbbc7c4d272d04178d36016"/>
      <w:r>
        <w:rPr>
          <w:rFonts w:hint="eastAsia" w:ascii="黑体" w:hAnsi="黑体" w:eastAsia="黑体" w:cs="黑体"/>
          <w:sz w:val="36"/>
          <w:szCs w:val="21"/>
          <w:lang w:val="en-US" w:eastAsia="zh-CN"/>
        </w:rPr>
        <w:t>三、</w:t>
      </w:r>
      <w:r>
        <w:rPr>
          <w:rFonts w:hint="eastAsia" w:ascii="黑体" w:hAnsi="黑体" w:eastAsia="黑体" w:cs="黑体"/>
          <w:sz w:val="36"/>
          <w:szCs w:val="21"/>
        </w:rPr>
        <w:t>重点应用场景</w:t>
      </w:r>
    </w:p>
    <w:p w14:paraId="0E1B7947"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3.1重点应用场景</w:t>
      </w:r>
    </w:p>
    <w:p w14:paraId="41A39E3C">
      <w:pPr>
        <w:pStyle w:val="15"/>
        <w:ind w:firstLine="560" w:firstLineChars="20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AI智慧数字人可根据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实际开展具体场景应用，但基于系统功能和学院需求，提出以下参考建议：</w:t>
      </w:r>
    </w:p>
    <w:p w14:paraId="20CB10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教务服务场景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：可设想在未来，70% 高频问题（选课/考务/证明办理）实现全天候自助应答，学生无需再排队等待人工解答，大大节省时间成本，提高办事效率。</w:t>
      </w:r>
    </w:p>
    <w:p w14:paraId="03173AE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招生咨询场景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：动态整合历年录取数据，支持分数线概率预测，例如考生输入“江西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高考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文科580分”，数字人能迅速生成近三年相关专业录取分析，为考生和家长提供科学决策依据，助力招生工作顺利开展。</w:t>
      </w:r>
    </w:p>
    <w:p w14:paraId="2A7E97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教师支持场景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：自动生成教学材料摘要，辅助新教师快速掌握课程标准，让教师能够将更多精力投入到教学创新和学生培养上，提升教学质量。</w:t>
      </w:r>
    </w:p>
    <w:bookmarkEnd w:id="2"/>
    <w:bookmarkEnd w:id="3"/>
    <w:p w14:paraId="0A7A76C9">
      <w:pPr>
        <w:pStyle w:val="4"/>
        <w:bidi w:val="0"/>
        <w:rPr>
          <w:rFonts w:hint="eastAsia"/>
        </w:rPr>
      </w:pPr>
      <w:bookmarkStart w:id="4" w:name="核心优势分析"/>
      <w:bookmarkStart w:id="5" w:name="X0607e37f6d49a9efb466486ddd8e8673d471f5c"/>
      <w:r>
        <w:rPr>
          <w:rFonts w:hint="eastAsia"/>
          <w:lang w:val="en-US" w:eastAsia="zh-CN"/>
        </w:rPr>
        <w:t>3.2</w:t>
      </w:r>
      <w:r>
        <w:rPr>
          <w:rFonts w:hint="eastAsia"/>
        </w:rPr>
        <w:t>实施效益</w:t>
      </w:r>
    </w:p>
    <w:p w14:paraId="690EE7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28"/>
        </w:rPr>
        <w:t>服务效能：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</w:rPr>
        <w:t>预计可承担65% 的常规咨询量，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在报考咨询忙季，教师担任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</w:rPr>
        <w:t>人工客服压力下降40%，让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教师</w:t>
      </w: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</w:rPr>
        <w:t>能够专注于处理更复杂、更特殊的问题，提高整体服务效率和质量。</w:t>
      </w:r>
    </w:p>
    <w:p w14:paraId="5F6F31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jc w:val="both"/>
        <w:textAlignment w:val="auto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bidi="ar-SA"/>
        </w:rPr>
        <w:t>成本控制：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28"/>
          <w:szCs w:val="28"/>
          <w:lang w:bidi="ar-SA"/>
        </w:rPr>
        <w:t>通过无需持续维护资料库，系统运维成本相较于传统方案降低60%，为学院节约了大量的人力、物力和财力，实现了资源的优化配置。系统还配备了常见问答库的问题搜索和资料搜索功能，便于教师快速定位并修改或维护所需数据。</w:t>
      </w:r>
    </w:p>
    <w:p w14:paraId="2FB27C36">
      <w:pPr>
        <w:numPr>
          <w:ilvl w:val="0"/>
          <w:numId w:val="0"/>
        </w:numPr>
        <w:ind w:left="360" w:leftChars="0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4785" cy="2444115"/>
            <wp:effectExtent l="0" t="0" r="5715" b="698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24B43">
      <w:pPr>
        <w:numPr>
          <w:ilvl w:val="0"/>
          <w:numId w:val="0"/>
        </w:numPr>
        <w:ind w:left="360" w:leftChars="0"/>
        <w:jc w:val="center"/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使用问答库搜索功能，可快速定位进行数据更新维护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）</w:t>
      </w:r>
    </w:p>
    <w:p w14:paraId="6111E5A6">
      <w:pPr>
        <w:numPr>
          <w:ilvl w:val="0"/>
          <w:numId w:val="0"/>
        </w:numPr>
        <w:ind w:left="360" w:leftChars="0"/>
        <w:jc w:val="center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inline distT="0" distB="0" distL="114300" distR="114300">
            <wp:extent cx="5264785" cy="2444115"/>
            <wp:effectExtent l="0" t="0" r="5715" b="698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3C35D">
      <w:pPr>
        <w:numPr>
          <w:ilvl w:val="0"/>
          <w:numId w:val="0"/>
        </w:numPr>
        <w:ind w:left="360" w:leftChars="0"/>
        <w:jc w:val="center"/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使用AI对云盘等资料进行搜索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）</w:t>
      </w:r>
    </w:p>
    <w:p w14:paraId="7C07C55C">
      <w:pPr>
        <w:widowControl w:val="0"/>
        <w:numPr>
          <w:ilvl w:val="0"/>
          <w:numId w:val="0"/>
        </w:numPr>
        <w:ind w:firstLine="562" w:firstLineChars="200"/>
        <w:jc w:val="both"/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bidi="ar-SA"/>
        </w:rPr>
      </w:pP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bidi="ar-SA"/>
        </w:rPr>
        <w:t>扩展潜力：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28"/>
          <w:szCs w:val="28"/>
          <w:lang w:bidi="ar-SA"/>
        </w:rPr>
        <w:t>训练框架支持快速对接新的 AI 模型，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28"/>
          <w:szCs w:val="28"/>
          <w:lang w:val="en-US" w:eastAsia="zh-CN" w:bidi="ar-SA"/>
        </w:rPr>
        <w:t>如Deepseek R1和通义千问Qwen2.5B的推理模型，</w:t>
      </w:r>
      <w:r>
        <w:rPr>
          <w:rFonts w:hint="eastAsia" w:ascii="方正仿宋_GB2312" w:hAnsi="方正仿宋_GB2312" w:eastAsia="方正仿宋_GB2312" w:cs="方正仿宋_GB2312"/>
          <w:b w:val="0"/>
          <w:bCs w:val="0"/>
          <w:kern w:val="2"/>
          <w:sz w:val="28"/>
          <w:szCs w:val="28"/>
          <w:lang w:bidi="ar-SA"/>
        </w:rPr>
        <w:t>适应技术更新迭代，确保系统始终保持技术领先性，为学院未来的发展提供坚实的技术支撑</w:t>
      </w:r>
      <w:r>
        <w:rPr>
          <w:rFonts w:hint="eastAsia" w:ascii="方正仿宋_GB2312" w:hAnsi="方正仿宋_GB2312" w:eastAsia="方正仿宋_GB2312" w:cs="方正仿宋_GB2312"/>
          <w:b/>
          <w:bCs/>
          <w:kern w:val="2"/>
          <w:sz w:val="28"/>
          <w:szCs w:val="28"/>
          <w:lang w:bidi="ar-SA"/>
        </w:rPr>
        <w:t>。</w:t>
      </w:r>
    </w:p>
    <w:bookmarkEnd w:id="4"/>
    <w:bookmarkEnd w:id="5"/>
    <w:p w14:paraId="115BD386">
      <w:pPr>
        <w:bidi w:val="0"/>
      </w:pPr>
      <w:r>
        <w:drawing>
          <wp:inline distT="0" distB="0" distL="114300" distR="114300">
            <wp:extent cx="4997450" cy="3759200"/>
            <wp:effectExtent l="0" t="0" r="6350" b="0"/>
            <wp:docPr id="3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54632">
      <w:pPr>
        <w:numPr>
          <w:ilvl w:val="0"/>
          <w:numId w:val="0"/>
        </w:numPr>
        <w:ind w:left="360" w:leftChars="0"/>
        <w:jc w:val="center"/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（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val="en-US" w:eastAsia="zh-CN"/>
        </w:rPr>
        <w:t>参考样式</w:t>
      </w:r>
      <w:r>
        <w:rPr>
          <w:rFonts w:hint="eastAsia" w:ascii="方正仿宋_GB2312" w:hAnsi="方正仿宋_GB2312" w:eastAsia="方正仿宋_GB2312" w:cs="方正仿宋_GB2312"/>
          <w:sz w:val="24"/>
          <w:szCs w:val="24"/>
          <w:lang w:eastAsia="zh-CN"/>
        </w:rPr>
        <w:t>）</w:t>
      </w:r>
    </w:p>
    <w:p w14:paraId="4FDDC2D8">
      <w:pPr>
        <w:pStyle w:val="2"/>
        <w:bidi w:val="0"/>
        <w:rPr>
          <w:rFonts w:hint="eastAsia" w:ascii="黑体" w:hAnsi="黑体" w:eastAsia="黑体" w:cs="黑体"/>
          <w:sz w:val="36"/>
          <w:szCs w:val="21"/>
          <w:lang w:val="en-US" w:eastAsia="zh-CN"/>
        </w:rPr>
      </w:pPr>
      <w:r>
        <w:rPr>
          <w:rFonts w:hint="eastAsia" w:ascii="黑体" w:hAnsi="黑体" w:eastAsia="黑体" w:cs="黑体"/>
          <w:sz w:val="36"/>
          <w:szCs w:val="21"/>
          <w:lang w:val="en-US" w:eastAsia="zh-CN"/>
        </w:rPr>
        <w:t>四、参数及报价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5"/>
        <w:gridCol w:w="5187"/>
        <w:gridCol w:w="1238"/>
        <w:gridCol w:w="1242"/>
      </w:tblGrid>
      <w:tr w14:paraId="7FC8BC04">
        <w:tc>
          <w:tcPr>
            <w:tcW w:w="855" w:type="dxa"/>
          </w:tcPr>
          <w:p w14:paraId="35C1DE79">
            <w:pPr>
              <w:bidi w:val="0"/>
              <w:jc w:val="center"/>
              <w:rPr>
                <w:rFonts w:hint="default" w:ascii="方正仿宋_GB2312" w:hAnsi="方正仿宋_GB2312" w:eastAsia="方正仿宋_GB2312" w:cs="方正仿宋_GB2312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2"/>
                <w:szCs w:val="22"/>
                <w:vertAlign w:val="baseline"/>
                <w:lang w:val="en-US" w:eastAsia="zh-CN"/>
              </w:rPr>
              <w:t>序号</w:t>
            </w:r>
          </w:p>
        </w:tc>
        <w:tc>
          <w:tcPr>
            <w:tcW w:w="5187" w:type="dxa"/>
          </w:tcPr>
          <w:p w14:paraId="7F601EE1">
            <w:pPr>
              <w:bidi w:val="0"/>
              <w:jc w:val="center"/>
              <w:rPr>
                <w:rFonts w:hint="default" w:ascii="方正仿宋_GB2312" w:hAnsi="方正仿宋_GB2312" w:eastAsia="方正仿宋_GB2312" w:cs="方正仿宋_GB2312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2"/>
                <w:szCs w:val="22"/>
                <w:vertAlign w:val="baseline"/>
                <w:lang w:val="en-US" w:eastAsia="zh-CN"/>
              </w:rPr>
              <w:t>参数</w:t>
            </w:r>
          </w:p>
        </w:tc>
        <w:tc>
          <w:tcPr>
            <w:tcW w:w="1238" w:type="dxa"/>
          </w:tcPr>
          <w:p w14:paraId="5B62518F">
            <w:pPr>
              <w:bidi w:val="0"/>
              <w:jc w:val="center"/>
              <w:rPr>
                <w:rFonts w:hint="default" w:ascii="方正仿宋_GB2312" w:hAnsi="方正仿宋_GB2312" w:eastAsia="方正仿宋_GB2312" w:cs="方正仿宋_GB2312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2"/>
                <w:szCs w:val="22"/>
                <w:vertAlign w:val="baseline"/>
                <w:lang w:val="en-US" w:eastAsia="zh-CN"/>
              </w:rPr>
              <w:t>单价（元）</w:t>
            </w:r>
          </w:p>
        </w:tc>
        <w:tc>
          <w:tcPr>
            <w:tcW w:w="1242" w:type="dxa"/>
          </w:tcPr>
          <w:p w14:paraId="23ECEE4A">
            <w:pPr>
              <w:bidi w:val="0"/>
              <w:jc w:val="center"/>
              <w:rPr>
                <w:rFonts w:hint="default" w:ascii="方正仿宋_GB2312" w:hAnsi="方正仿宋_GB2312" w:eastAsia="方正仿宋_GB2312" w:cs="方正仿宋_GB2312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2"/>
                <w:szCs w:val="22"/>
                <w:vertAlign w:val="baseline"/>
                <w:lang w:val="en-US" w:eastAsia="zh-CN"/>
              </w:rPr>
              <w:t>总价（元）</w:t>
            </w:r>
          </w:p>
        </w:tc>
      </w:tr>
      <w:tr w14:paraId="235486C1">
        <w:tc>
          <w:tcPr>
            <w:tcW w:w="855" w:type="dxa"/>
          </w:tcPr>
          <w:p w14:paraId="4268FA1C">
            <w:pPr>
              <w:bidi w:val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  <w:p w14:paraId="220B1635">
            <w:pPr>
              <w:bidi w:val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  <w:p w14:paraId="6E4AC39C">
            <w:pPr>
              <w:bidi w:val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  <w:p w14:paraId="5D3C499E">
            <w:pPr>
              <w:bidi w:val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  <w:p w14:paraId="038C0367">
            <w:pPr>
              <w:bidi w:val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  <w:p w14:paraId="050A5125">
            <w:pPr>
              <w:bidi w:val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  <w:p w14:paraId="4CAA9A99">
            <w:pPr>
              <w:bidi w:val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  <w:p w14:paraId="2AA30A1C">
            <w:pPr>
              <w:bidi w:val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  <w:p w14:paraId="14B692A7">
            <w:pPr>
              <w:bidi w:val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  <w:p w14:paraId="3D98EAAF">
            <w:pPr>
              <w:bidi w:val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  <w:p w14:paraId="797D0AB7">
            <w:pPr>
              <w:bidi w:val="0"/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</w:p>
          <w:p w14:paraId="37BFA2B5">
            <w:pPr>
              <w:bidi w:val="0"/>
              <w:jc w:val="center"/>
              <w:rPr>
                <w:rFonts w:hint="default" w:ascii="方正仿宋_GB2312" w:hAnsi="方正仿宋_GB2312" w:eastAsia="方正仿宋_GB2312" w:cs="方正仿宋_GB2312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5187" w:type="dxa"/>
          </w:tcPr>
          <w:p w14:paraId="241F1867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基于教材文档的深度文档理解的 RAG（检索增强生成）引擎，结合私有化大型语言模型，提供 真实的问答功能，并以来自各种复杂格式数据的合理引证。</w:t>
            </w:r>
          </w:p>
          <w:p w14:paraId="591D8F5A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1.技术环境要求</w:t>
            </w:r>
          </w:p>
          <w:p w14:paraId="03643B1B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（1）操作系统兼容性（需覆盖主流服务器及云环境） ，数据库类型：PostgreSQL、MySQL 等，具 备兼容市面上国产数据库，数据库具备高效存储和检索多模态数据。</w:t>
            </w:r>
          </w:p>
          <w:p w14:paraId="072AB56A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2.数据预处理模块</w:t>
            </w:r>
          </w:p>
          <w:p w14:paraId="7DE5D1CB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（1）具备多种格式 : 包括 Word 文档、PPT、excel 表格、txt 文件、PDF、结构化数据、网页等。</w:t>
            </w:r>
          </w:p>
          <w:p w14:paraId="12DE8628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（2）文档解析 :提取文本、表格。保留文档结构与层次（如章节、段落、列表） 。具备多格式文 档解析（如 PDF、Word、Excel、Markdown、HTML 等）。</w:t>
            </w:r>
          </w:p>
          <w:p w14:paraId="52E6EF83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（3）语义增强 :对文档内容进行分块（chunking）和语义标注。识别实体（如术语、人名、日期） 和关键段落。</w:t>
            </w:r>
          </w:p>
          <w:p w14:paraId="31A5878E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3.检索模块</w:t>
            </w:r>
          </w:p>
          <w:p w14:paraId="55105B11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（1）索引构建 :对解析后的文档构建高效索引（如倒排索引或向量索引）。使用嵌入模型（如 BERT、 Sentence-BERT）生成语义向量。</w:t>
            </w:r>
          </w:p>
          <w:p w14:paraId="4A80DC7B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（2）检索策略 :具备关键词检索（如 BM25）和语义检索（如稠密检索） 。混合检索（hybrid retrieval）结合关键词和语义检索结果。</w:t>
            </w:r>
          </w:p>
          <w:p w14:paraId="4F79273B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4.生成模块</w:t>
            </w:r>
          </w:p>
          <w:p w14:paraId="2429C351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（1）私有化 LLM :使用私有化部署的大型语言模型进行生成。结合检索到的文档片段生成答案。</w:t>
            </w:r>
          </w:p>
          <w:p w14:paraId="313BF6C7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（2）生成优化:具备多轮对话和上下文记忆。</w:t>
            </w:r>
          </w:p>
          <w:p w14:paraId="101A13FB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5.引证模块</w:t>
            </w:r>
          </w:p>
          <w:p w14:paraId="41493492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（1）引证生成 : 自动识别答案来源的文档片段或章节。生成合理的引证格式（如 MLA、APA 或自定 义格式）。</w:t>
            </w:r>
          </w:p>
          <w:p w14:paraId="6595BD2F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6.全程无忧、 自动化的 RAG 工作流</w:t>
            </w:r>
          </w:p>
          <w:p w14:paraId="1D4278EF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全面优化的 RAG 工作流可以支持从个人应用乃至学校的各类生态系统，具备衔接学校各个系统的用 户管理功能。大语言模型 LLM 以及向量模型均支持配置。</w:t>
            </w:r>
          </w:p>
          <w:p w14:paraId="148298D4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基于深度文档理解从复杂格式的非结构化数据中提取知识。</w:t>
            </w:r>
          </w:p>
          <w:p w14:paraId="59EA89BD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7. 在无限数量的数据链中寻找指定内容。</w:t>
            </w:r>
          </w:p>
          <w:p w14:paraId="74F611BB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8. 基于模板的分块，智能且可解释。有大量模板选项可供选择。有根据的引用，减少幻觉，文本 分块的可视化以允许人工干预。</w:t>
            </w:r>
          </w:p>
          <w:p w14:paraId="7358C356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9. 快速查看主要参考文献和可追溯的引文来支持有根据的答案。与异构数据源的兼容性。</w:t>
            </w:r>
          </w:p>
          <w:p w14:paraId="124EE99C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10. 自动化且轻松的 RAG 工作流程，精简的 RAG 编排可满足学生和教师的需求。11. 可配置的大模型 LLM 以及嵌入模型。</w:t>
            </w:r>
          </w:p>
          <w:p w14:paraId="2CDDC521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12. 多重回忆与融合重新排序相结合。</w:t>
            </w:r>
          </w:p>
          <w:p w14:paraId="528B4582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13.文本切片过程可视化，具备手动调整。</w:t>
            </w:r>
          </w:p>
          <w:p w14:paraId="55AF8568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有理有据：答案提供关键引用的快照并具备追根溯源。</w:t>
            </w:r>
          </w:p>
          <w:p w14:paraId="4E87B651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14.兼容各类异构数据源</w:t>
            </w:r>
          </w:p>
          <w:p w14:paraId="30025F25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具备丰富的文件类型，包括 Word 文档、PPT、excel 表格、txt 文件、PDF、结构化数据、网页等。</w:t>
            </w:r>
          </w:p>
          <w:p w14:paraId="66248184">
            <w:pPr>
              <w:rPr>
                <w:sz w:val="18"/>
                <w:szCs w:val="21"/>
              </w:rPr>
            </w:pPr>
            <w:r>
              <w:rPr>
                <w:sz w:val="18"/>
                <w:szCs w:val="21"/>
              </w:rPr>
              <w:t>15.接口</w:t>
            </w:r>
          </w:p>
          <w:p w14:paraId="313CD487">
            <w:pPr>
              <w:rPr>
                <w:rFonts w:hint="eastAsia"/>
                <w:spacing w:val="3"/>
                <w:sz w:val="20"/>
                <w:szCs w:val="20"/>
                <w:lang w:val="en-US" w:eastAsia="zh-CN"/>
              </w:rPr>
            </w:pPr>
            <w:r>
              <w:rPr>
                <w:sz w:val="18"/>
                <w:szCs w:val="21"/>
              </w:rPr>
              <w:t>直观的 API，可与第三方业务无缝集成，具备集成到各类教学教务系统。</w:t>
            </w:r>
          </w:p>
        </w:tc>
        <w:tc>
          <w:tcPr>
            <w:tcW w:w="1238" w:type="dxa"/>
            <w:vAlign w:val="center"/>
          </w:tcPr>
          <w:p w14:paraId="515CDB64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99800</w:t>
            </w:r>
          </w:p>
        </w:tc>
        <w:tc>
          <w:tcPr>
            <w:tcW w:w="1242" w:type="dxa"/>
            <w:vAlign w:val="center"/>
          </w:tcPr>
          <w:p w14:paraId="2F031CE7">
            <w:pPr>
              <w:bidi w:val="0"/>
              <w:jc w:val="center"/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99800</w:t>
            </w:r>
          </w:p>
        </w:tc>
      </w:tr>
      <w:tr w14:paraId="14470E44">
        <w:tc>
          <w:tcPr>
            <w:tcW w:w="8522" w:type="dxa"/>
            <w:gridSpan w:val="4"/>
          </w:tcPr>
          <w:p w14:paraId="6CB91500">
            <w:pPr>
              <w:bidi w:val="0"/>
              <w:jc w:val="center"/>
              <w:rPr>
                <w:rFonts w:hint="default" w:ascii="方正仿宋_GB2312" w:hAnsi="方正仿宋_GB2312" w:eastAsia="方正仿宋_GB2312" w:cs="方正仿宋_GB2312"/>
                <w:b/>
                <w:bCs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vertAlign w:val="baseline"/>
                <w:lang w:val="en-US" w:eastAsia="zh-CN"/>
              </w:rPr>
              <w:t>总价/人民币：99800元</w:t>
            </w:r>
          </w:p>
        </w:tc>
      </w:tr>
    </w:tbl>
    <w:p w14:paraId="6DE46273">
      <w:pPr>
        <w:bidi w:val="0"/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  <w:embedRegular r:id="rId1" w:fontKey="{449886AC-AB01-DF38-3481-21688FFD2D85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DC60DDF6-1894-0785-3481-216873D2A202}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EFE700"/>
    <w:multiLevelType w:val="singleLevel"/>
    <w:tmpl w:val="A8EFE700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11280634"/>
    <w:multiLevelType w:val="singleLevel"/>
    <w:tmpl w:val="1128063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6BF91CE8"/>
    <w:multiLevelType w:val="singleLevel"/>
    <w:tmpl w:val="6BF91CE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1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00F23"/>
    <w:rsid w:val="00953D9C"/>
    <w:rsid w:val="02344EA2"/>
    <w:rsid w:val="028C0C83"/>
    <w:rsid w:val="02EE1D5F"/>
    <w:rsid w:val="03196F07"/>
    <w:rsid w:val="03D26A3D"/>
    <w:rsid w:val="0433224A"/>
    <w:rsid w:val="04C85BD8"/>
    <w:rsid w:val="078828AD"/>
    <w:rsid w:val="07E378E3"/>
    <w:rsid w:val="07EC2E3C"/>
    <w:rsid w:val="088178D0"/>
    <w:rsid w:val="09EC411D"/>
    <w:rsid w:val="0A7C520D"/>
    <w:rsid w:val="0AAC68B2"/>
    <w:rsid w:val="0BCB0FBA"/>
    <w:rsid w:val="0C3D2B4F"/>
    <w:rsid w:val="0EE71EB0"/>
    <w:rsid w:val="0F625E8C"/>
    <w:rsid w:val="0F9C44BC"/>
    <w:rsid w:val="10482BD9"/>
    <w:rsid w:val="10CA5CE4"/>
    <w:rsid w:val="11765524"/>
    <w:rsid w:val="11B14807"/>
    <w:rsid w:val="12726D37"/>
    <w:rsid w:val="15393438"/>
    <w:rsid w:val="153C6A85"/>
    <w:rsid w:val="164E5C7A"/>
    <w:rsid w:val="17102D78"/>
    <w:rsid w:val="17163A31"/>
    <w:rsid w:val="17BE5A6F"/>
    <w:rsid w:val="18363C5F"/>
    <w:rsid w:val="18CA4359"/>
    <w:rsid w:val="18E65685"/>
    <w:rsid w:val="19524AC9"/>
    <w:rsid w:val="19CE51EA"/>
    <w:rsid w:val="1C297D63"/>
    <w:rsid w:val="1C691F5E"/>
    <w:rsid w:val="1D305121"/>
    <w:rsid w:val="1DED114E"/>
    <w:rsid w:val="1E334F6C"/>
    <w:rsid w:val="1EB51D82"/>
    <w:rsid w:val="1EE837A9"/>
    <w:rsid w:val="1FC61D6D"/>
    <w:rsid w:val="203B7621"/>
    <w:rsid w:val="20575C7E"/>
    <w:rsid w:val="214747E7"/>
    <w:rsid w:val="224D79A3"/>
    <w:rsid w:val="22B81625"/>
    <w:rsid w:val="23BA1BE8"/>
    <w:rsid w:val="23DB3AA3"/>
    <w:rsid w:val="24003309"/>
    <w:rsid w:val="241E2177"/>
    <w:rsid w:val="242213DF"/>
    <w:rsid w:val="244A6AC8"/>
    <w:rsid w:val="24FA112D"/>
    <w:rsid w:val="25D0124F"/>
    <w:rsid w:val="26022399"/>
    <w:rsid w:val="26157B20"/>
    <w:rsid w:val="261750B6"/>
    <w:rsid w:val="27BE2088"/>
    <w:rsid w:val="27C2106B"/>
    <w:rsid w:val="27D86AE1"/>
    <w:rsid w:val="27DE267E"/>
    <w:rsid w:val="29472DAF"/>
    <w:rsid w:val="2A067935"/>
    <w:rsid w:val="2A44045E"/>
    <w:rsid w:val="2A4A3344"/>
    <w:rsid w:val="2AF21C68"/>
    <w:rsid w:val="2B707708"/>
    <w:rsid w:val="2B817DE9"/>
    <w:rsid w:val="2BC17995"/>
    <w:rsid w:val="2D2B320F"/>
    <w:rsid w:val="2DBD030B"/>
    <w:rsid w:val="2DBF7A6D"/>
    <w:rsid w:val="2DF875C4"/>
    <w:rsid w:val="2ED40002"/>
    <w:rsid w:val="2EFB04E8"/>
    <w:rsid w:val="2F885FB5"/>
    <w:rsid w:val="31450646"/>
    <w:rsid w:val="32DD144F"/>
    <w:rsid w:val="32E917B7"/>
    <w:rsid w:val="34120C85"/>
    <w:rsid w:val="34382A36"/>
    <w:rsid w:val="344F0F86"/>
    <w:rsid w:val="347B0F20"/>
    <w:rsid w:val="347F27BE"/>
    <w:rsid w:val="3482405C"/>
    <w:rsid w:val="35184E46"/>
    <w:rsid w:val="351F3659"/>
    <w:rsid w:val="354D26A1"/>
    <w:rsid w:val="35EB20BC"/>
    <w:rsid w:val="37422E9D"/>
    <w:rsid w:val="3B040569"/>
    <w:rsid w:val="3B616116"/>
    <w:rsid w:val="3BFD0DE5"/>
    <w:rsid w:val="3C0B5674"/>
    <w:rsid w:val="3C767DB2"/>
    <w:rsid w:val="3C990195"/>
    <w:rsid w:val="3CB76A42"/>
    <w:rsid w:val="3CDA5681"/>
    <w:rsid w:val="3CF11D7F"/>
    <w:rsid w:val="3D125759"/>
    <w:rsid w:val="3D8175A7"/>
    <w:rsid w:val="3E1E11CE"/>
    <w:rsid w:val="3E667659"/>
    <w:rsid w:val="3FC9141C"/>
    <w:rsid w:val="3FF62716"/>
    <w:rsid w:val="4014414F"/>
    <w:rsid w:val="40300E10"/>
    <w:rsid w:val="40DB3A8F"/>
    <w:rsid w:val="41F53EE5"/>
    <w:rsid w:val="435B43F6"/>
    <w:rsid w:val="45423BF4"/>
    <w:rsid w:val="455F7AA2"/>
    <w:rsid w:val="45B124DB"/>
    <w:rsid w:val="45DD4525"/>
    <w:rsid w:val="46BA39A4"/>
    <w:rsid w:val="47FD6976"/>
    <w:rsid w:val="4854035E"/>
    <w:rsid w:val="48CB06A1"/>
    <w:rsid w:val="49683351"/>
    <w:rsid w:val="49A62341"/>
    <w:rsid w:val="4A314103"/>
    <w:rsid w:val="4A6F4C2B"/>
    <w:rsid w:val="4B2368B7"/>
    <w:rsid w:val="4B6524AD"/>
    <w:rsid w:val="4B8E2E8F"/>
    <w:rsid w:val="4D0B6C7F"/>
    <w:rsid w:val="4DA42E3E"/>
    <w:rsid w:val="4E9764FE"/>
    <w:rsid w:val="4EDB63EB"/>
    <w:rsid w:val="4FCD5732"/>
    <w:rsid w:val="4FFB2A9E"/>
    <w:rsid w:val="50025BF9"/>
    <w:rsid w:val="505B7A3F"/>
    <w:rsid w:val="50D52C2D"/>
    <w:rsid w:val="511A58F1"/>
    <w:rsid w:val="51586419"/>
    <w:rsid w:val="516E18FA"/>
    <w:rsid w:val="51C969CF"/>
    <w:rsid w:val="51F14CFB"/>
    <w:rsid w:val="534C4396"/>
    <w:rsid w:val="53593B2B"/>
    <w:rsid w:val="53AE67E0"/>
    <w:rsid w:val="54AD6A7C"/>
    <w:rsid w:val="558275C0"/>
    <w:rsid w:val="55A77F64"/>
    <w:rsid w:val="55FA2E24"/>
    <w:rsid w:val="570A5ABF"/>
    <w:rsid w:val="57704D35"/>
    <w:rsid w:val="582D26D4"/>
    <w:rsid w:val="58397FAA"/>
    <w:rsid w:val="58775D4B"/>
    <w:rsid w:val="598A2EE8"/>
    <w:rsid w:val="59B5509A"/>
    <w:rsid w:val="5A5043AC"/>
    <w:rsid w:val="5E8C325E"/>
    <w:rsid w:val="5E9345EC"/>
    <w:rsid w:val="5F596331"/>
    <w:rsid w:val="607B5C80"/>
    <w:rsid w:val="610D3A7F"/>
    <w:rsid w:val="619478F0"/>
    <w:rsid w:val="63414E55"/>
    <w:rsid w:val="63A2520E"/>
    <w:rsid w:val="63D14186"/>
    <w:rsid w:val="640647F8"/>
    <w:rsid w:val="64C9520C"/>
    <w:rsid w:val="65B217B5"/>
    <w:rsid w:val="672E57FA"/>
    <w:rsid w:val="678107FC"/>
    <w:rsid w:val="67D83524"/>
    <w:rsid w:val="68012F0F"/>
    <w:rsid w:val="697F058F"/>
    <w:rsid w:val="6987749C"/>
    <w:rsid w:val="69DC6F5A"/>
    <w:rsid w:val="6A1567FD"/>
    <w:rsid w:val="6A427DF3"/>
    <w:rsid w:val="6ABC4ECB"/>
    <w:rsid w:val="6AC82319"/>
    <w:rsid w:val="6B0D1BCA"/>
    <w:rsid w:val="6BEC358E"/>
    <w:rsid w:val="6C364FC5"/>
    <w:rsid w:val="6C732839"/>
    <w:rsid w:val="6C8F495A"/>
    <w:rsid w:val="6D554CB8"/>
    <w:rsid w:val="6E104E6A"/>
    <w:rsid w:val="6E534630"/>
    <w:rsid w:val="714B21E6"/>
    <w:rsid w:val="715C7408"/>
    <w:rsid w:val="747E1443"/>
    <w:rsid w:val="74BB2B5E"/>
    <w:rsid w:val="75B478A8"/>
    <w:rsid w:val="75DB213B"/>
    <w:rsid w:val="7714670F"/>
    <w:rsid w:val="77534E09"/>
    <w:rsid w:val="77644920"/>
    <w:rsid w:val="77815659"/>
    <w:rsid w:val="779276DF"/>
    <w:rsid w:val="77955421"/>
    <w:rsid w:val="78460886"/>
    <w:rsid w:val="7864712D"/>
    <w:rsid w:val="78E819E6"/>
    <w:rsid w:val="79154FE4"/>
    <w:rsid w:val="791E43F7"/>
    <w:rsid w:val="7923498D"/>
    <w:rsid w:val="79456370"/>
    <w:rsid w:val="7958108A"/>
    <w:rsid w:val="79F479DF"/>
    <w:rsid w:val="7A235557"/>
    <w:rsid w:val="7A7210FD"/>
    <w:rsid w:val="7B166879"/>
    <w:rsid w:val="7CE00EED"/>
    <w:rsid w:val="7CEE61D4"/>
    <w:rsid w:val="7D60199E"/>
    <w:rsid w:val="7E7538B7"/>
    <w:rsid w:val="7E843B00"/>
    <w:rsid w:val="7EFC5D86"/>
    <w:rsid w:val="7F0302E6"/>
    <w:rsid w:val="7F54569C"/>
    <w:rsid w:val="7F783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before="180" w:after="18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paragraph" w:customStyle="1" w:styleId="15">
    <w:name w:val="First Paragraph"/>
    <w:basedOn w:val="3"/>
    <w:next w:val="3"/>
    <w:qFormat/>
    <w:uiPriority w:val="0"/>
  </w:style>
  <w:style w:type="paragraph" w:customStyle="1" w:styleId="16">
    <w:name w:val="Table Text"/>
    <w:basedOn w:val="1"/>
    <w:semiHidden/>
    <w:qFormat/>
    <w:uiPriority w:val="0"/>
    <w:rPr>
      <w:rFonts w:ascii="Wingdings" w:hAnsi="Wingdings" w:eastAsia="Wingdings" w:cs="Wingdings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3311</Words>
  <Characters>3466</Characters>
  <Lines>0</Lines>
  <Paragraphs>0</Paragraphs>
  <TotalTime>2</TotalTime>
  <ScaleCrop>false</ScaleCrop>
  <LinksUpToDate>false</LinksUpToDate>
  <CharactersWithSpaces>3493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2025-02-08T19:06:00Z</dcterms:created>
  <dc:creator>XIONG</dc:creator>
  <cp:lastModifiedBy>包旭日</cp:lastModifiedBy>
  <dcterms:modified xsi:type="dcterms:W3CDTF">2025-05-12T13:03:48Z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KSOTemplateDocerSaveRecord">
    <vt:lpwstr>eyJoZGlkIjoiN2M1OWZlNmEwYjA1ODllMjI1Y2I0MDMxN2Q4NmExMWEiLCJ1c2VySWQiOiIyMTEwMTUwNTIifQ==</vt:lpwstr>
  </property>
  <property fmtid="{D5CDD505-2E9C-101B-9397-08002B2CF9AE}" pid="4" name="ICV">
    <vt:lpwstr>023529AE1F7E41B184F9E8961B260129_13</vt:lpwstr>
  </property>
</Properties>
</file>